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792BA" w14:textId="7B6FAA38" w:rsidR="00AA39AE" w:rsidRPr="00B55935" w:rsidRDefault="00AA39AE" w:rsidP="00AA39AE">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E04A72" w:rsidRPr="00E04A72">
        <w:rPr>
          <w:rFonts w:ascii="Calibri" w:eastAsia="新細明體" w:hAnsi="Calibri" w:cs="Arial"/>
          <w:noProof w:val="0"/>
          <w:sz w:val="24"/>
          <w:szCs w:val="24"/>
          <w:lang w:eastAsia="ja-JP"/>
        </w:rPr>
        <w:t>R4-1913594</w:t>
      </w:r>
    </w:p>
    <w:p w14:paraId="01532F40" w14:textId="55B4CAE7" w:rsidR="00F20E93" w:rsidRPr="002D6DD1" w:rsidRDefault="00AA39AE" w:rsidP="00AA39AE">
      <w:pPr>
        <w:pStyle w:val="CRCoverPage"/>
        <w:outlineLvl w:val="0"/>
        <w:rPr>
          <w:rFonts w:ascii="Calibri" w:eastAsia="新細明體" w:hAnsi="Calibri"/>
          <w:sz w:val="24"/>
          <w:highlight w:val="yellow"/>
          <w:lang w:eastAsia="zh-TW"/>
        </w:rPr>
      </w:pPr>
      <w:r w:rsidRPr="0039161B">
        <w:rPr>
          <w:rFonts w:ascii="Calibri" w:eastAsia="新細明體" w:hAnsi="Calibri" w:cs="Arial"/>
          <w:b/>
          <w:sz w:val="24"/>
          <w:szCs w:val="24"/>
          <w:lang w:eastAsia="ja-JP"/>
        </w:rPr>
        <w:t>Reno, USA, 18</w:t>
      </w:r>
      <w:r w:rsidRPr="0039161B">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 22</w:t>
      </w:r>
      <w:r w:rsidRPr="0039161B">
        <w:rPr>
          <w:rFonts w:ascii="Calibri" w:eastAsia="新細明體" w:hAnsi="Calibri" w:cs="Arial"/>
          <w:b/>
          <w:sz w:val="24"/>
          <w:szCs w:val="24"/>
          <w:vertAlign w:val="superscript"/>
          <w:lang w:eastAsia="ja-JP"/>
        </w:rPr>
        <w:t>nd</w:t>
      </w:r>
      <w:r>
        <w:rPr>
          <w:rFonts w:ascii="Calibri" w:eastAsia="新細明體" w:hAnsi="Calibri" w:cs="Arial"/>
          <w:b/>
          <w:sz w:val="24"/>
          <w:szCs w:val="24"/>
          <w:lang w:eastAsia="ja-JP"/>
        </w:rPr>
        <w:t xml:space="preserve"> </w:t>
      </w:r>
      <w:r w:rsidRPr="0039161B">
        <w:rPr>
          <w:rFonts w:ascii="Calibri" w:eastAsia="新細明體" w:hAnsi="Calibri" w:cs="Arial"/>
          <w:b/>
          <w:sz w:val="24"/>
          <w:szCs w:val="24"/>
          <w:lang w:eastAsia="ja-JP"/>
        </w:rPr>
        <w:t>Nov, 2019</w:t>
      </w:r>
      <w:r w:rsidR="00F20E93" w:rsidRPr="00920FFE">
        <w:rPr>
          <w:rFonts w:ascii="Calibri" w:eastAsia="新細明體" w:hAnsi="Calibri" w:cs="Calibri"/>
          <w:b/>
          <w:sz w:val="24"/>
          <w:szCs w:val="24"/>
          <w:lang w:eastAsia="ja-JP"/>
        </w:rPr>
        <w:t xml:space="preserve"> </w:t>
      </w:r>
    </w:p>
    <w:p w14:paraId="1CAD8A83" w14:textId="12C43951" w:rsidR="00811EEE" w:rsidRPr="00D252D2" w:rsidRDefault="00811EEE" w:rsidP="00811EEE">
      <w:pPr>
        <w:ind w:left="1985" w:hanging="1985"/>
        <w:rPr>
          <w:rFonts w:eastAsia="新細明體" w:cs="Arial"/>
          <w:b/>
          <w:bCs/>
          <w:lang w:eastAsia="zh-TW"/>
        </w:rPr>
      </w:pPr>
      <w:r w:rsidRPr="00FE72F2">
        <w:rPr>
          <w:rFonts w:cs="Arial"/>
          <w:b/>
          <w:bCs/>
        </w:rPr>
        <w:t>Agenda Item:</w:t>
      </w:r>
      <w:r w:rsidRPr="00FE72F2">
        <w:rPr>
          <w:rFonts w:cs="Arial"/>
          <w:b/>
          <w:bCs/>
        </w:rPr>
        <w:tab/>
      </w:r>
      <w:r w:rsidR="00A17119">
        <w:rPr>
          <w:rFonts w:cs="Arial"/>
          <w:b/>
          <w:bCs/>
        </w:rPr>
        <w:t>9</w:t>
      </w:r>
      <w:r w:rsidR="001E7AC0">
        <w:rPr>
          <w:rFonts w:cs="Arial"/>
          <w:b/>
          <w:bCs/>
        </w:rPr>
        <w:t>.</w:t>
      </w:r>
      <w:r w:rsidR="00FD1B9A">
        <w:rPr>
          <w:rFonts w:cs="Arial"/>
          <w:b/>
          <w:bCs/>
        </w:rPr>
        <w:t>1</w:t>
      </w:r>
      <w:r w:rsidR="00F20E93">
        <w:rPr>
          <w:rFonts w:cs="Arial"/>
          <w:b/>
          <w:bCs/>
        </w:rPr>
        <w:t>7</w:t>
      </w:r>
      <w:r w:rsidR="007D4F35">
        <w:rPr>
          <w:rFonts w:cs="Arial"/>
          <w:b/>
          <w:bCs/>
        </w:rPr>
        <w:t>.1</w:t>
      </w:r>
      <w:r w:rsidR="00A17119">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70E2222" w:rsidR="00174EC2" w:rsidRDefault="0034111C" w:rsidP="007A4FCF">
      <w:pPr>
        <w:ind w:left="1985" w:hanging="1985"/>
        <w:rPr>
          <w:rFonts w:cs="Arial"/>
          <w:b/>
          <w:bCs/>
        </w:rPr>
      </w:pPr>
      <w:r w:rsidRPr="000C45FD">
        <w:rPr>
          <w:rFonts w:cs="Arial"/>
          <w:b/>
          <w:bCs/>
        </w:rPr>
        <w:t>Title:</w:t>
      </w:r>
      <w:r w:rsidRPr="000C45FD">
        <w:rPr>
          <w:rFonts w:cs="Arial"/>
          <w:b/>
          <w:bCs/>
        </w:rPr>
        <w:tab/>
      </w:r>
      <w:r w:rsidR="00C26262" w:rsidRPr="00C26262">
        <w:rPr>
          <w:rFonts w:cs="Arial"/>
          <w:b/>
          <w:bCs/>
        </w:rPr>
        <w:t xml:space="preserve">Beam management in HST </w:t>
      </w:r>
    </w:p>
    <w:p w14:paraId="6F580D61" w14:textId="234468F6"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722F88">
        <w:rPr>
          <w:rFonts w:cs="Arial"/>
          <w:b/>
          <w:bCs/>
        </w:rPr>
        <w:t>Discussion</w:t>
      </w:r>
    </w:p>
    <w:p w14:paraId="20062393" w14:textId="77777777" w:rsidR="0034111C" w:rsidRPr="000C45FD" w:rsidRDefault="0034111C" w:rsidP="0012659B">
      <w:pPr>
        <w:pStyle w:val="Heading1"/>
        <w:numPr>
          <w:ilvl w:val="0"/>
          <w:numId w:val="1"/>
        </w:numPr>
        <w:rPr>
          <w:rFonts w:ascii="Calibri" w:hAnsi="Calibri"/>
          <w:lang w:eastAsia="zh-CN"/>
        </w:rPr>
      </w:pPr>
      <w:r w:rsidRPr="000C45FD">
        <w:rPr>
          <w:rFonts w:ascii="Calibri" w:hAnsi="Calibri"/>
        </w:rPr>
        <w:tab/>
      </w:r>
      <w:r w:rsidR="00EE7FA7" w:rsidRPr="000C45FD">
        <w:rPr>
          <w:rFonts w:ascii="Calibri" w:hAnsi="Calibri"/>
        </w:rPr>
        <w:t>Introduction</w:t>
      </w:r>
    </w:p>
    <w:p w14:paraId="744071BA" w14:textId="65ED45B3" w:rsidR="00A2768E" w:rsidRDefault="00A2768E" w:rsidP="007A456D">
      <w:pPr>
        <w:jc w:val="both"/>
      </w:pPr>
      <w:r>
        <w:t>In this paper, we discuss 2 issues. One is the beam management robustness issue as we already mentioned in our previous paper [1]. The other one is about general multi-beam deployment.</w:t>
      </w:r>
    </w:p>
    <w:p w14:paraId="3D60433C" w14:textId="3595B1B2" w:rsidR="00EF47B0" w:rsidRPr="000C45FD" w:rsidRDefault="00A2768E" w:rsidP="0012659B">
      <w:pPr>
        <w:pStyle w:val="Heading1"/>
        <w:numPr>
          <w:ilvl w:val="0"/>
          <w:numId w:val="1"/>
        </w:numPr>
        <w:rPr>
          <w:rFonts w:ascii="Calibri" w:hAnsi="Calibri"/>
          <w:lang w:eastAsia="zh-CN"/>
        </w:rPr>
      </w:pPr>
      <w:r>
        <w:t xml:space="preserve">Robustness of Beam Management in </w:t>
      </w:r>
      <w:r w:rsidR="00F43F02">
        <w:t>DPS scheme</w:t>
      </w:r>
    </w:p>
    <w:p w14:paraId="5FEB4569" w14:textId="03B260B4" w:rsidR="004A3747" w:rsidRDefault="00C0165F" w:rsidP="00107376">
      <w:pPr>
        <w:jc w:val="both"/>
        <w:rPr>
          <w:lang w:eastAsia="x-none"/>
        </w:rPr>
      </w:pPr>
      <w:r>
        <w:rPr>
          <w:lang w:eastAsia="x-none"/>
        </w:rPr>
        <w:t xml:space="preserve">In last meeting, we submitted one paper </w:t>
      </w:r>
      <w:r w:rsidR="00D347CE">
        <w:rPr>
          <w:lang w:eastAsia="x-none"/>
        </w:rPr>
        <w:t xml:space="preserve">[1] </w:t>
      </w:r>
      <w:r>
        <w:rPr>
          <w:lang w:eastAsia="x-none"/>
        </w:rPr>
        <w:t>talking about the robustness of beam management</w:t>
      </w:r>
      <w:r w:rsidR="00D347CE">
        <w:rPr>
          <w:lang w:eastAsia="x-none"/>
        </w:rPr>
        <w:t xml:space="preserve">. </w:t>
      </w:r>
      <w:r w:rsidR="00107376">
        <w:rPr>
          <w:lang w:eastAsia="x-none"/>
        </w:rPr>
        <w:t>The detail can be referred in [1]. Based on the analysis, w</w:t>
      </w:r>
      <w:r w:rsidR="004A3747">
        <w:rPr>
          <w:lang w:eastAsia="x-none"/>
        </w:rPr>
        <w:t xml:space="preserve">e see the benefit of this scheme on the system throughput, but also see the robustness issue in TCI-state switch when UE is much closed to the RRH. </w:t>
      </w:r>
      <w:r w:rsidR="00E93D15">
        <w:rPr>
          <w:lang w:eastAsia="x-none"/>
        </w:rPr>
        <w:t>We suggest that RAN4 to consider other DPS transmission scheme to avoid TCI-state switch when UE is much closed to the RRH.</w:t>
      </w:r>
    </w:p>
    <w:p w14:paraId="58F812BA" w14:textId="6D348991" w:rsidR="00A2768E" w:rsidRPr="00742A05" w:rsidRDefault="00E93D15" w:rsidP="00107376">
      <w:pPr>
        <w:pStyle w:val="Caption"/>
      </w:pPr>
      <w:bookmarkStart w:id="0" w:name="_Ref20684798"/>
      <w:r>
        <w:t xml:space="preserve">Proposal </w:t>
      </w:r>
      <w:r w:rsidR="00601AA7">
        <w:rPr>
          <w:noProof/>
        </w:rPr>
        <w:fldChar w:fldCharType="begin"/>
      </w:r>
      <w:r w:rsidR="00601AA7">
        <w:rPr>
          <w:noProof/>
        </w:rPr>
        <w:instrText xml:space="preserve"> SEQ Proposal \* ARABIC </w:instrText>
      </w:r>
      <w:r w:rsidR="00601AA7">
        <w:rPr>
          <w:noProof/>
        </w:rPr>
        <w:fldChar w:fldCharType="separate"/>
      </w:r>
      <w:r w:rsidR="00F84E5F">
        <w:rPr>
          <w:noProof/>
        </w:rPr>
        <w:t>1</w:t>
      </w:r>
      <w:r w:rsidR="00601AA7">
        <w:rPr>
          <w:noProof/>
        </w:rPr>
        <w:fldChar w:fldCharType="end"/>
      </w:r>
      <w:r>
        <w:rPr>
          <w:lang w:val="en-US"/>
        </w:rPr>
        <w:t>: RAN4 to consider other DPS transmission scheme</w:t>
      </w:r>
      <w:r w:rsidR="00BE21FC">
        <w:rPr>
          <w:lang w:val="en-US"/>
        </w:rPr>
        <w:t>s</w:t>
      </w:r>
      <w:r>
        <w:rPr>
          <w:lang w:val="en-US"/>
        </w:rPr>
        <w:t xml:space="preserve"> to avoid </w:t>
      </w:r>
      <w:r>
        <w:t>TCI-state switch when UE is much closed to the RRH</w:t>
      </w:r>
      <w:r>
        <w:rPr>
          <w:lang w:val="en-US"/>
        </w:rPr>
        <w:t>.</w:t>
      </w:r>
      <w:bookmarkEnd w:id="0"/>
      <w:r>
        <w:rPr>
          <w:lang w:val="en-US"/>
        </w:rPr>
        <w:t xml:space="preserve"> </w:t>
      </w:r>
    </w:p>
    <w:p w14:paraId="3FF34D9A" w14:textId="4ACEC245" w:rsidR="00A2768E" w:rsidRPr="000C45FD" w:rsidRDefault="00A2768E" w:rsidP="00A2768E">
      <w:pPr>
        <w:pStyle w:val="Heading1"/>
        <w:numPr>
          <w:ilvl w:val="0"/>
          <w:numId w:val="1"/>
        </w:numPr>
        <w:rPr>
          <w:rFonts w:ascii="Calibri" w:hAnsi="Calibri"/>
          <w:lang w:eastAsia="zh-CN"/>
        </w:rPr>
      </w:pPr>
      <w:r>
        <w:t>Multi-Beam Deployment</w:t>
      </w:r>
      <w:r w:rsidR="00F43F02">
        <w:t xml:space="preserve"> in HST</w:t>
      </w:r>
    </w:p>
    <w:p w14:paraId="599C6470" w14:textId="12B79BDD" w:rsidR="00DD3F54" w:rsidRDefault="00655901" w:rsidP="00655901">
      <w:pPr>
        <w:jc w:val="both"/>
        <w:rPr>
          <w:lang w:val="x-none" w:eastAsia="x-none"/>
        </w:rPr>
      </w:pPr>
      <w:r>
        <w:rPr>
          <w:lang w:val="x-none" w:eastAsia="x-none"/>
        </w:rPr>
        <w:t>One of the key difference</w:t>
      </w:r>
      <w:r w:rsidR="00A14D4C">
        <w:rPr>
          <w:lang w:val="x-none" w:eastAsia="x-none"/>
        </w:rPr>
        <w:t>s</w:t>
      </w:r>
      <w:r>
        <w:rPr>
          <w:lang w:val="x-none" w:eastAsia="x-none"/>
        </w:rPr>
        <w:t xml:space="preserve"> in NR over LTE is that a cell can be deployed with multiple Tx beams. The very fundamental reason to introduce multiple Tx beam</w:t>
      </w:r>
      <w:r w:rsidR="00A14D4C">
        <w:rPr>
          <w:lang w:val="x-none" w:eastAsia="x-none"/>
        </w:rPr>
        <w:t>s</w:t>
      </w:r>
      <w:r>
        <w:rPr>
          <w:lang w:val="x-none" w:eastAsia="x-none"/>
        </w:rPr>
        <w:t xml:space="preserve"> is to accommodate the </w:t>
      </w:r>
      <w:r w:rsidR="00A14D4C">
        <w:rPr>
          <w:lang w:val="x-none" w:eastAsia="x-none"/>
        </w:rPr>
        <w:t>path loss in high frequency bands through beamforming. One drawback of beamforming is that the transmission beam becomes narrower as the signal can travel further.</w:t>
      </w:r>
    </w:p>
    <w:p w14:paraId="4EB50CC4" w14:textId="564491E2" w:rsidR="004D04D0" w:rsidRDefault="00A14D4C" w:rsidP="004D04D0">
      <w:pPr>
        <w:jc w:val="both"/>
        <w:rPr>
          <w:lang w:val="x-none" w:eastAsia="x-none"/>
        </w:rPr>
      </w:pPr>
      <w:r>
        <w:rPr>
          <w:lang w:val="x-none" w:eastAsia="x-none"/>
        </w:rPr>
        <w:t>Deploying multi-Tx beams in HST has the benefit on extending the coverage of the transmission signal and also improving the throughput of UE a</w:t>
      </w:r>
      <w:r w:rsidR="00F84E5F">
        <w:rPr>
          <w:lang w:val="x-none" w:eastAsia="x-none"/>
        </w:rPr>
        <w:t>t</w:t>
      </w:r>
      <w:r>
        <w:rPr>
          <w:lang w:val="x-none" w:eastAsia="x-none"/>
        </w:rPr>
        <w:t xml:space="preserve"> certain locations. However, </w:t>
      </w:r>
      <w:r w:rsidR="004D04D0">
        <w:rPr>
          <w:lang w:val="x-none" w:eastAsia="x-none"/>
        </w:rPr>
        <w:t xml:space="preserve">it may introduce some issues in </w:t>
      </w:r>
      <w:r>
        <w:rPr>
          <w:lang w:val="x-none" w:eastAsia="x-none"/>
        </w:rPr>
        <w:t>beam mana</w:t>
      </w:r>
      <w:r w:rsidR="004D04D0">
        <w:rPr>
          <w:lang w:val="x-none" w:eastAsia="x-none"/>
        </w:rPr>
        <w:t xml:space="preserve">gement. As an illustrative example shown in </w:t>
      </w:r>
      <w:r w:rsidR="004D04D0">
        <w:rPr>
          <w:lang w:val="x-none" w:eastAsia="x-none"/>
        </w:rPr>
        <w:fldChar w:fldCharType="begin"/>
      </w:r>
      <w:r w:rsidR="004D04D0">
        <w:rPr>
          <w:lang w:val="x-none" w:eastAsia="x-none"/>
        </w:rPr>
        <w:instrText xml:space="preserve"> REF _Ref23694468 \h </w:instrText>
      </w:r>
      <w:r w:rsidR="004D04D0">
        <w:rPr>
          <w:lang w:val="x-none" w:eastAsia="x-none"/>
        </w:rPr>
      </w:r>
      <w:r w:rsidR="004D04D0">
        <w:rPr>
          <w:lang w:val="x-none" w:eastAsia="x-none"/>
        </w:rPr>
        <w:fldChar w:fldCharType="separate"/>
      </w:r>
      <w:r w:rsidR="00F84E5F">
        <w:t xml:space="preserve">Figure </w:t>
      </w:r>
      <w:r w:rsidR="00F84E5F">
        <w:rPr>
          <w:noProof/>
        </w:rPr>
        <w:t>1</w:t>
      </w:r>
      <w:r w:rsidR="004D04D0">
        <w:rPr>
          <w:lang w:val="x-none" w:eastAsia="x-none"/>
        </w:rPr>
        <w:fldChar w:fldCharType="end"/>
      </w:r>
      <w:r w:rsidR="004D04D0">
        <w:rPr>
          <w:lang w:val="x-none" w:eastAsia="x-none"/>
        </w:rPr>
        <w:t xml:space="preserve">. </w:t>
      </w:r>
    </w:p>
    <w:p w14:paraId="149C2447" w14:textId="56F146CE" w:rsidR="004D04D0" w:rsidRPr="00B35FE8" w:rsidRDefault="004D04D0" w:rsidP="004D04D0">
      <w:pPr>
        <w:pStyle w:val="ListParagraph"/>
        <w:numPr>
          <w:ilvl w:val="0"/>
          <w:numId w:val="4"/>
        </w:numPr>
        <w:jc w:val="both"/>
        <w:rPr>
          <w:lang w:eastAsia="x-none"/>
        </w:rPr>
      </w:pPr>
      <w:r>
        <w:rPr>
          <w:lang w:eastAsia="x-none"/>
        </w:rPr>
        <w:t xml:space="preserve">In </w:t>
      </w:r>
      <w:r>
        <w:rPr>
          <w:lang w:val="x-none" w:eastAsia="x-none"/>
        </w:rPr>
        <w:fldChar w:fldCharType="begin"/>
      </w:r>
      <w:r>
        <w:rPr>
          <w:lang w:val="x-none" w:eastAsia="x-none"/>
        </w:rPr>
        <w:instrText xml:space="preserve"> REF _Ref23694468 \h </w:instrText>
      </w:r>
      <w:r>
        <w:rPr>
          <w:lang w:val="x-none" w:eastAsia="x-none"/>
        </w:rPr>
      </w:r>
      <w:r>
        <w:rPr>
          <w:lang w:val="x-none" w:eastAsia="x-none"/>
        </w:rPr>
        <w:fldChar w:fldCharType="separate"/>
      </w:r>
      <w:r w:rsidR="00F84E5F">
        <w:t xml:space="preserve">Figure </w:t>
      </w:r>
      <w:r w:rsidR="00F84E5F">
        <w:rPr>
          <w:noProof/>
        </w:rPr>
        <w:t>1</w:t>
      </w:r>
      <w:r>
        <w:rPr>
          <w:lang w:val="x-none" w:eastAsia="x-none"/>
        </w:rPr>
        <w:fldChar w:fldCharType="end"/>
      </w:r>
      <w:r>
        <w:rPr>
          <w:lang w:val="x-none" w:eastAsia="x-none"/>
        </w:rPr>
        <w:t>(a), when UE is in the coverage of Cell#1, UE may not be able to detect, track or measure the Tx beam#1 of Cell 2</w:t>
      </w:r>
      <w:r w:rsidR="00F43F02">
        <w:rPr>
          <w:lang w:val="x-none" w:eastAsia="x-none"/>
        </w:rPr>
        <w:t xml:space="preserve"> because UE is not in angle that can covered by the TX beam.</w:t>
      </w:r>
      <w:r>
        <w:rPr>
          <w:lang w:val="x-none" w:eastAsia="x-none"/>
        </w:rPr>
        <w:t xml:space="preserve"> It </w:t>
      </w:r>
      <w:r w:rsidR="00B35FE8">
        <w:rPr>
          <w:lang w:val="x-none" w:eastAsia="x-none"/>
        </w:rPr>
        <w:t>is possible that UE needs to be</w:t>
      </w:r>
      <w:r>
        <w:rPr>
          <w:lang w:val="x-none" w:eastAsia="x-none"/>
        </w:rPr>
        <w:t xml:space="preserve"> very closed to the RRH of cell</w:t>
      </w:r>
      <w:r w:rsidR="00B35FE8">
        <w:rPr>
          <w:lang w:val="x-none" w:eastAsia="x-none"/>
        </w:rPr>
        <w:t>#2</w:t>
      </w:r>
      <w:r>
        <w:rPr>
          <w:lang w:val="x-none" w:eastAsia="x-none"/>
        </w:rPr>
        <w:t xml:space="preserve"> </w:t>
      </w:r>
      <w:r w:rsidR="00B35FE8">
        <w:rPr>
          <w:lang w:val="x-none" w:eastAsia="x-none"/>
        </w:rPr>
        <w:t>in order to detect, track or measure the Tx beam#1 of Cell 2.</w:t>
      </w:r>
    </w:p>
    <w:p w14:paraId="42B2E537" w14:textId="714EB9B9" w:rsidR="00B35FE8" w:rsidRPr="00B35FE8" w:rsidRDefault="00B35FE8" w:rsidP="00827C10">
      <w:pPr>
        <w:pStyle w:val="ListParagraph"/>
        <w:numPr>
          <w:ilvl w:val="0"/>
          <w:numId w:val="4"/>
        </w:numPr>
        <w:jc w:val="both"/>
        <w:rPr>
          <w:lang w:eastAsia="x-none"/>
        </w:rPr>
      </w:pPr>
      <w:r>
        <w:rPr>
          <w:lang w:eastAsia="x-none"/>
        </w:rPr>
        <w:t xml:space="preserve">In </w:t>
      </w:r>
      <w:r w:rsidRPr="00F43F02">
        <w:rPr>
          <w:lang w:val="x-none" w:eastAsia="x-none"/>
        </w:rPr>
        <w:fldChar w:fldCharType="begin"/>
      </w:r>
      <w:r w:rsidRPr="00F43F02">
        <w:rPr>
          <w:lang w:val="x-none" w:eastAsia="x-none"/>
        </w:rPr>
        <w:instrText xml:space="preserve"> REF _Ref23694468 \h </w:instrText>
      </w:r>
      <w:r w:rsidRPr="00F43F02">
        <w:rPr>
          <w:lang w:val="x-none" w:eastAsia="x-none"/>
        </w:rPr>
      </w:r>
      <w:r w:rsidRPr="00F43F02">
        <w:rPr>
          <w:lang w:val="x-none" w:eastAsia="x-none"/>
        </w:rPr>
        <w:fldChar w:fldCharType="separate"/>
      </w:r>
      <w:r w:rsidR="00F84E5F">
        <w:t xml:space="preserve">Figure </w:t>
      </w:r>
      <w:r w:rsidR="00F84E5F">
        <w:rPr>
          <w:noProof/>
        </w:rPr>
        <w:t>1</w:t>
      </w:r>
      <w:r w:rsidRPr="00F43F02">
        <w:rPr>
          <w:lang w:val="x-none" w:eastAsia="x-none"/>
        </w:rPr>
        <w:fldChar w:fldCharType="end"/>
      </w:r>
      <w:r w:rsidRPr="00F43F02">
        <w:rPr>
          <w:lang w:val="x-none" w:eastAsia="x-none"/>
        </w:rPr>
        <w:t xml:space="preserve">(b), the situation gets worse to UE. Because the beam width becomes narrower, UE has a very limited time to detect the Tx beam, </w:t>
      </w:r>
      <w:r w:rsidR="00F84E5F">
        <w:rPr>
          <w:lang w:val="x-none" w:eastAsia="x-none"/>
        </w:rPr>
        <w:t>after</w:t>
      </w:r>
      <w:r w:rsidRPr="00F43F02">
        <w:rPr>
          <w:lang w:val="x-none" w:eastAsia="x-none"/>
        </w:rPr>
        <w:t xml:space="preserve"> it becomes detectable. </w:t>
      </w:r>
      <w:r w:rsidR="00F43F02" w:rsidRPr="00F43F02">
        <w:rPr>
          <w:lang w:val="x-none" w:eastAsia="x-none"/>
        </w:rPr>
        <w:t>It is very challenging for UE can finish the detection, perform accurate measurement and report the next beam to network</w:t>
      </w:r>
      <w:r w:rsidR="00F43F02">
        <w:rPr>
          <w:lang w:val="x-none" w:eastAsia="x-none"/>
        </w:rPr>
        <w:t xml:space="preserve"> before the next Tx beam becomes better than the current Tx beam</w:t>
      </w:r>
      <w:r w:rsidR="00F43F02" w:rsidRPr="00F43F02">
        <w:rPr>
          <w:lang w:val="x-none" w:eastAsia="x-none"/>
        </w:rPr>
        <w:t xml:space="preserve">. </w:t>
      </w:r>
      <w:r w:rsidRPr="00F43F02">
        <w:rPr>
          <w:lang w:val="x-none" w:eastAsia="x-none"/>
        </w:rPr>
        <w:t xml:space="preserve">At the same time, network needs to make quicker and more precise decision on when to trigger TCI-state switch for PDCCH, PDSCH, CQI, PUCCH and PUSCH. </w:t>
      </w:r>
      <w:r w:rsidR="00F43F02">
        <w:rPr>
          <w:lang w:val="x-none" w:eastAsia="x-none"/>
        </w:rPr>
        <w:t xml:space="preserve">If network triggers the TCI-state switch too late, UE may not be able to decode the PDCCH and PDSCH from network anymore. </w:t>
      </w:r>
    </w:p>
    <w:p w14:paraId="6F1700F5" w14:textId="4B1B7765" w:rsidR="00A14D4C" w:rsidRPr="005C394D" w:rsidRDefault="00B35FE8" w:rsidP="00DF3360">
      <w:pPr>
        <w:pStyle w:val="ListParagraph"/>
        <w:numPr>
          <w:ilvl w:val="0"/>
          <w:numId w:val="4"/>
        </w:numPr>
        <w:jc w:val="both"/>
        <w:rPr>
          <w:lang w:eastAsia="x-none"/>
        </w:rPr>
      </w:pPr>
      <w:r w:rsidRPr="00DF3360">
        <w:rPr>
          <w:lang w:val="x-none" w:eastAsia="x-none"/>
        </w:rPr>
        <w:fldChar w:fldCharType="begin"/>
      </w:r>
      <w:r w:rsidRPr="00DF3360">
        <w:rPr>
          <w:lang w:val="x-none" w:eastAsia="x-none"/>
        </w:rPr>
        <w:instrText xml:space="preserve"> REF _Ref23694468 \h </w:instrText>
      </w:r>
      <w:r w:rsidRPr="00DF3360">
        <w:rPr>
          <w:lang w:val="x-none" w:eastAsia="x-none"/>
        </w:rPr>
      </w:r>
      <w:r w:rsidRPr="00DF3360">
        <w:rPr>
          <w:lang w:val="x-none" w:eastAsia="x-none"/>
        </w:rPr>
        <w:fldChar w:fldCharType="separate"/>
      </w:r>
      <w:r w:rsidR="00F84E5F">
        <w:t xml:space="preserve">Figure </w:t>
      </w:r>
      <w:r w:rsidR="00F84E5F">
        <w:rPr>
          <w:noProof/>
        </w:rPr>
        <w:t>1</w:t>
      </w:r>
      <w:r w:rsidRPr="00DF3360">
        <w:rPr>
          <w:lang w:val="x-none" w:eastAsia="x-none"/>
        </w:rPr>
        <w:fldChar w:fldCharType="end"/>
      </w:r>
      <w:r w:rsidRPr="00DF3360">
        <w:rPr>
          <w:lang w:val="x-none" w:eastAsia="x-none"/>
        </w:rPr>
        <w:t xml:space="preserve">(c) is a more extreme case. On top of the concerns mentioned above, </w:t>
      </w:r>
      <w:r w:rsidR="00DF3360" w:rsidRPr="00DF3360">
        <w:rPr>
          <w:lang w:val="x-none" w:eastAsia="x-none"/>
        </w:rPr>
        <w:t xml:space="preserve">the system becomes very sensitive to any beam management mistake, and there will be some non-trivial amount of </w:t>
      </w:r>
      <w:r w:rsidR="00DF3360" w:rsidRPr="00DF3360">
        <w:rPr>
          <w:lang w:val="x-none" w:eastAsia="x-none"/>
        </w:rPr>
        <w:lastRenderedPageBreak/>
        <w:t xml:space="preserve">overhead in terms of control signaling (for DCI, MAC CE and RRC reconfiguration) and time spent on beam management. </w:t>
      </w:r>
    </w:p>
    <w:p w14:paraId="3237A45B" w14:textId="695B1114" w:rsidR="00A14D4C" w:rsidRDefault="004D04D0" w:rsidP="00655901">
      <w:pPr>
        <w:jc w:val="both"/>
        <w:rPr>
          <w:lang w:eastAsia="x-none"/>
        </w:rPr>
      </w:pPr>
      <w:r w:rsidRPr="004D04D0">
        <w:rPr>
          <w:noProof/>
          <w:lang w:eastAsia="zh-TW"/>
        </w:rPr>
        <w:drawing>
          <wp:inline distT="0" distB="0" distL="0" distR="0" wp14:anchorId="0354806E" wp14:editId="47EEF0DE">
            <wp:extent cx="6120765" cy="40099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009909"/>
                    </a:xfrm>
                    <a:prstGeom prst="rect">
                      <a:avLst/>
                    </a:prstGeom>
                    <a:noFill/>
                    <a:ln>
                      <a:noFill/>
                    </a:ln>
                  </pic:spPr>
                </pic:pic>
              </a:graphicData>
            </a:graphic>
          </wp:inline>
        </w:drawing>
      </w:r>
    </w:p>
    <w:p w14:paraId="12398A59" w14:textId="4EDF88F4" w:rsidR="004D04D0" w:rsidRPr="00A14D4C" w:rsidRDefault="004D04D0" w:rsidP="004D04D0">
      <w:pPr>
        <w:pStyle w:val="Caption"/>
        <w:jc w:val="center"/>
        <w:rPr>
          <w:lang w:val="en-US"/>
        </w:rPr>
      </w:pPr>
      <w:bookmarkStart w:id="1" w:name="_Ref23694468"/>
      <w:r>
        <w:t xml:space="preserve">Figure </w:t>
      </w:r>
      <w:r>
        <w:fldChar w:fldCharType="begin"/>
      </w:r>
      <w:r>
        <w:instrText xml:space="preserve"> SEQ Figure \* ARABIC </w:instrText>
      </w:r>
      <w:r>
        <w:fldChar w:fldCharType="separate"/>
      </w:r>
      <w:r w:rsidR="00F84E5F">
        <w:rPr>
          <w:noProof/>
        </w:rPr>
        <w:t>1</w:t>
      </w:r>
      <w:r>
        <w:fldChar w:fldCharType="end"/>
      </w:r>
      <w:bookmarkEnd w:id="1"/>
      <w:r>
        <w:t>. UE’s beam detection and tracking in multi-beam HST scenario</w:t>
      </w:r>
    </w:p>
    <w:p w14:paraId="27C03DA4" w14:textId="0B869DF7" w:rsidR="00DF3360" w:rsidRDefault="00DF3360" w:rsidP="00655901">
      <w:pPr>
        <w:jc w:val="both"/>
        <w:rPr>
          <w:lang w:val="x-none" w:eastAsia="x-none"/>
        </w:rPr>
      </w:pPr>
      <w:r>
        <w:rPr>
          <w:lang w:val="x-none" w:eastAsia="x-none"/>
        </w:rPr>
        <w:t>From above analysis, we see that multi-beam deployment does bring challenges in both UE and BS sides. When RAN4 discuss</w:t>
      </w:r>
      <w:r w:rsidR="00F43F02">
        <w:rPr>
          <w:lang w:val="x-none" w:eastAsia="x-none"/>
        </w:rPr>
        <w:t>es</w:t>
      </w:r>
      <w:r>
        <w:rPr>
          <w:lang w:val="x-none" w:eastAsia="x-none"/>
        </w:rPr>
        <w:t xml:space="preserve"> any RRM requirements, it is very important to clarify the assumption of number of Tx beams as a side condition. For an example, re-using any LTE RRM requirements in NR is only feasible, if there is only single beam per cell (or RRH). If not, more investigation is needed.</w:t>
      </w:r>
    </w:p>
    <w:p w14:paraId="295595A5" w14:textId="3B7051F8" w:rsidR="00DF3360" w:rsidRDefault="00DF3360" w:rsidP="00DF3360">
      <w:pPr>
        <w:pStyle w:val="Caption"/>
        <w:jc w:val="both"/>
      </w:pPr>
      <w:bookmarkStart w:id="2" w:name="_Ref23696309"/>
      <w:r>
        <w:t xml:space="preserve">Observation </w:t>
      </w:r>
      <w:r>
        <w:fldChar w:fldCharType="begin"/>
      </w:r>
      <w:r>
        <w:instrText xml:space="preserve"> SEQ Observation \* ARABIC </w:instrText>
      </w:r>
      <w:r>
        <w:fldChar w:fldCharType="separate"/>
      </w:r>
      <w:r w:rsidR="00F84E5F">
        <w:rPr>
          <w:noProof/>
        </w:rPr>
        <w:t>1</w:t>
      </w:r>
      <w:r>
        <w:fldChar w:fldCharType="end"/>
      </w:r>
      <w:r>
        <w:t>: Multi-beam deployment reduces the time for UE to detect, track and measure the neighboring beams, demands more frequent beam reporting and TCI-state switch, as well as increases the overhead used for beam management.</w:t>
      </w:r>
      <w:bookmarkEnd w:id="2"/>
    </w:p>
    <w:p w14:paraId="5F055AE7" w14:textId="7104EA9C" w:rsidR="00DF3360" w:rsidRPr="00DF3360" w:rsidRDefault="00DF3360" w:rsidP="00DF3360">
      <w:pPr>
        <w:pStyle w:val="Caption"/>
      </w:pPr>
      <w:bookmarkStart w:id="3" w:name="_Ref23696318"/>
      <w:r>
        <w:t xml:space="preserve">Proposal </w:t>
      </w:r>
      <w:r>
        <w:fldChar w:fldCharType="begin"/>
      </w:r>
      <w:r>
        <w:instrText xml:space="preserve"> SEQ Proposal \* ARABIC </w:instrText>
      </w:r>
      <w:r>
        <w:fldChar w:fldCharType="separate"/>
      </w:r>
      <w:r w:rsidR="00F84E5F">
        <w:rPr>
          <w:noProof/>
        </w:rPr>
        <w:t>2</w:t>
      </w:r>
      <w:r>
        <w:fldChar w:fldCharType="end"/>
      </w:r>
      <w:r>
        <w:t xml:space="preserve">: </w:t>
      </w:r>
      <w:r w:rsidR="00794179">
        <w:t>R</w:t>
      </w:r>
      <w:r>
        <w:t xml:space="preserve">e-using any LTE RRM requirements </w:t>
      </w:r>
      <w:r w:rsidR="00794179">
        <w:t>to</w:t>
      </w:r>
      <w:r>
        <w:t xml:space="preserve"> NR is only feasible if there is only single beam per cell (or RRH).</w:t>
      </w:r>
      <w:bookmarkEnd w:id="3"/>
      <w:r w:rsidR="00F43F02">
        <w:t xml:space="preserve"> If not, more investigation is needed.</w:t>
      </w:r>
    </w:p>
    <w:p w14:paraId="59E31DA9" w14:textId="77777777" w:rsidR="007A456D" w:rsidRPr="000C45FD" w:rsidRDefault="007A456D" w:rsidP="0012659B">
      <w:pPr>
        <w:pStyle w:val="Heading1"/>
        <w:numPr>
          <w:ilvl w:val="0"/>
          <w:numId w:val="1"/>
        </w:numPr>
        <w:rPr>
          <w:rFonts w:ascii="Calibri" w:hAnsi="Calibri"/>
          <w:lang w:eastAsia="zh-CN"/>
        </w:rPr>
      </w:pPr>
      <w:r>
        <w:rPr>
          <w:rFonts w:ascii="Calibri" w:hAnsi="Calibri"/>
        </w:rPr>
        <w:t>Summary</w:t>
      </w:r>
    </w:p>
    <w:p w14:paraId="746B2B53" w14:textId="7A6F1E0B" w:rsidR="006B1D92" w:rsidRDefault="006E3812" w:rsidP="006B1D92">
      <w:pPr>
        <w:adjustRightInd w:val="0"/>
        <w:snapToGrid w:val="0"/>
        <w:spacing w:before="180" w:after="120"/>
        <w:jc w:val="both"/>
      </w:pPr>
      <w:r w:rsidRPr="006E3812">
        <w:t>In this</w:t>
      </w:r>
      <w:r>
        <w:t xml:space="preserve"> paper, </w:t>
      </w:r>
      <w:r w:rsidR="00FE5F99">
        <w:t>we provide our view on the HST-SFN DPS transmission scheme. We have the following observations and proposals.</w:t>
      </w:r>
    </w:p>
    <w:p w14:paraId="54712EC9" w14:textId="1303C7DC" w:rsidR="00794179" w:rsidRPr="00FE5F99" w:rsidRDefault="00794179" w:rsidP="006B1D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_Ref23696309 \h  \* MERGEFORMAT </w:instrText>
      </w:r>
      <w:r>
        <w:rPr>
          <w:b/>
          <w:sz w:val="20"/>
          <w:szCs w:val="20"/>
          <w:lang w:eastAsia="x-none"/>
        </w:rPr>
      </w:r>
      <w:r>
        <w:rPr>
          <w:b/>
          <w:sz w:val="20"/>
          <w:szCs w:val="20"/>
          <w:lang w:eastAsia="x-none"/>
        </w:rPr>
        <w:fldChar w:fldCharType="separate"/>
      </w:r>
      <w:r w:rsidR="00F84E5F" w:rsidRPr="00F84E5F">
        <w:rPr>
          <w:b/>
          <w:sz w:val="20"/>
          <w:szCs w:val="20"/>
          <w:lang w:eastAsia="x-none"/>
        </w:rPr>
        <w:t>Observation 1: Multi-beam deployment reduces the time for UE to detect, track and measure the neighboring beams, demands more frequent beam reporting and TCI-state switch, as well as increases the overhead used for beam management.</w:t>
      </w:r>
      <w:r>
        <w:rPr>
          <w:b/>
          <w:sz w:val="20"/>
          <w:szCs w:val="20"/>
          <w:lang w:eastAsia="x-none"/>
        </w:rPr>
        <w:fldChar w:fldCharType="end"/>
      </w:r>
      <w:bookmarkStart w:id="4" w:name="_GoBack"/>
      <w:bookmarkEnd w:id="4"/>
    </w:p>
    <w:p w14:paraId="17AC513E" w14:textId="06972F3B" w:rsidR="006E3812" w:rsidRDefault="00FE5F99" w:rsidP="00A90CEE">
      <w:pPr>
        <w:adjustRightInd w:val="0"/>
        <w:snapToGrid w:val="0"/>
        <w:spacing w:before="180" w:after="120"/>
        <w:jc w:val="both"/>
        <w:rPr>
          <w:b/>
          <w:sz w:val="20"/>
          <w:szCs w:val="20"/>
          <w:lang w:eastAsia="x-none"/>
        </w:rPr>
      </w:pPr>
      <w:r w:rsidRPr="00FE5F99">
        <w:rPr>
          <w:b/>
          <w:sz w:val="20"/>
          <w:szCs w:val="20"/>
          <w:lang w:eastAsia="x-none"/>
        </w:rPr>
        <w:fldChar w:fldCharType="begin"/>
      </w:r>
      <w:r w:rsidRPr="00FE5F99">
        <w:rPr>
          <w:b/>
          <w:sz w:val="20"/>
          <w:szCs w:val="20"/>
          <w:lang w:eastAsia="x-none"/>
        </w:rPr>
        <w:instrText xml:space="preserve"> REF _Ref20684798 \h </w:instrText>
      </w:r>
      <w:r>
        <w:rPr>
          <w:b/>
          <w:sz w:val="20"/>
          <w:szCs w:val="20"/>
          <w:lang w:eastAsia="x-none"/>
        </w:rPr>
        <w:instrText xml:space="preserve"> \* MERGEFORMAT </w:instrText>
      </w:r>
      <w:r w:rsidRPr="00FE5F99">
        <w:rPr>
          <w:b/>
          <w:sz w:val="20"/>
          <w:szCs w:val="20"/>
          <w:lang w:eastAsia="x-none"/>
        </w:rPr>
      </w:r>
      <w:r w:rsidRPr="00FE5F99">
        <w:rPr>
          <w:b/>
          <w:sz w:val="20"/>
          <w:szCs w:val="20"/>
          <w:lang w:eastAsia="x-none"/>
        </w:rPr>
        <w:fldChar w:fldCharType="separate"/>
      </w:r>
      <w:r w:rsidR="00F84E5F" w:rsidRPr="00F84E5F">
        <w:rPr>
          <w:b/>
          <w:sz w:val="20"/>
          <w:szCs w:val="20"/>
          <w:lang w:eastAsia="x-none"/>
        </w:rPr>
        <w:t>Proposal 1: RAN4 to consider other DPS transmission schemes to avoid TCI-state switch when UE is much closed to the RRH.</w:t>
      </w:r>
      <w:r w:rsidRPr="00FE5F99">
        <w:rPr>
          <w:b/>
          <w:sz w:val="20"/>
          <w:szCs w:val="20"/>
          <w:lang w:eastAsia="x-none"/>
        </w:rPr>
        <w:fldChar w:fldCharType="end"/>
      </w:r>
    </w:p>
    <w:p w14:paraId="06DE2C8D" w14:textId="1316F32E" w:rsidR="00794179" w:rsidRPr="00794179" w:rsidRDefault="00794179" w:rsidP="00A90CEE">
      <w:pPr>
        <w:adjustRightInd w:val="0"/>
        <w:snapToGrid w:val="0"/>
        <w:spacing w:before="180" w:after="120"/>
        <w:jc w:val="both"/>
        <w:rPr>
          <w:b/>
          <w:sz w:val="20"/>
          <w:szCs w:val="20"/>
          <w:lang w:eastAsia="x-none"/>
        </w:rPr>
      </w:pPr>
      <w:r>
        <w:rPr>
          <w:b/>
          <w:sz w:val="20"/>
          <w:szCs w:val="20"/>
          <w:lang w:eastAsia="x-none"/>
        </w:rPr>
        <w:fldChar w:fldCharType="begin"/>
      </w:r>
      <w:r w:rsidRPr="00794179">
        <w:rPr>
          <w:b/>
          <w:sz w:val="20"/>
          <w:szCs w:val="20"/>
          <w:lang w:eastAsia="x-none"/>
        </w:rPr>
        <w:instrText xml:space="preserve"> REF _Ref23696318 \h </w:instrText>
      </w:r>
      <w:r>
        <w:rPr>
          <w:b/>
          <w:sz w:val="20"/>
          <w:szCs w:val="20"/>
          <w:lang w:eastAsia="x-none"/>
        </w:rPr>
        <w:instrText xml:space="preserve"> \* MERGEFORMAT </w:instrText>
      </w:r>
      <w:r>
        <w:rPr>
          <w:b/>
          <w:sz w:val="20"/>
          <w:szCs w:val="20"/>
          <w:lang w:eastAsia="x-none"/>
        </w:rPr>
      </w:r>
      <w:r>
        <w:rPr>
          <w:b/>
          <w:sz w:val="20"/>
          <w:szCs w:val="20"/>
          <w:lang w:eastAsia="x-none"/>
        </w:rPr>
        <w:fldChar w:fldCharType="separate"/>
      </w:r>
      <w:r w:rsidR="00F84E5F" w:rsidRPr="00F84E5F">
        <w:rPr>
          <w:b/>
          <w:sz w:val="20"/>
          <w:szCs w:val="20"/>
          <w:lang w:eastAsia="x-none"/>
        </w:rPr>
        <w:t>Proposal 2: Re-using any LTE RRM requirements to NR is only feasible if there is only single beam per cell (or RRH).</w:t>
      </w:r>
      <w:r>
        <w:rPr>
          <w:b/>
          <w:sz w:val="20"/>
          <w:szCs w:val="20"/>
          <w:lang w:eastAsia="x-none"/>
        </w:rPr>
        <w:fldChar w:fldCharType="end"/>
      </w:r>
    </w:p>
    <w:p w14:paraId="2F0A9587" w14:textId="3DEC21DC" w:rsidR="00D63646" w:rsidRDefault="000F20AC" w:rsidP="0012659B">
      <w:pPr>
        <w:pStyle w:val="Heading1"/>
        <w:numPr>
          <w:ilvl w:val="0"/>
          <w:numId w:val="1"/>
        </w:numPr>
        <w:rPr>
          <w:rFonts w:ascii="Calibri" w:hAnsi="Calibri"/>
        </w:rPr>
      </w:pPr>
      <w:r w:rsidRPr="000C45FD">
        <w:rPr>
          <w:rFonts w:ascii="Calibri" w:hAnsi="Calibri"/>
        </w:rPr>
        <w:lastRenderedPageBreak/>
        <w:t>References</w:t>
      </w:r>
    </w:p>
    <w:p w14:paraId="1174AD73" w14:textId="081A393A" w:rsidR="005C78A5" w:rsidRPr="00D63646" w:rsidRDefault="00D63646" w:rsidP="00D347CE">
      <w:pPr>
        <w:rPr>
          <w:lang w:val="en-GB" w:eastAsia="en-US"/>
        </w:rPr>
      </w:pPr>
      <w:r>
        <w:rPr>
          <w:lang w:val="en-GB" w:eastAsia="en-US"/>
        </w:rPr>
        <w:t xml:space="preserve">[1] </w:t>
      </w:r>
      <w:r w:rsidR="006B1D92" w:rsidRPr="006B1D92">
        <w:rPr>
          <w:lang w:val="en-GB" w:eastAsia="en-US"/>
        </w:rPr>
        <w:t>R4-</w:t>
      </w:r>
      <w:r w:rsidR="00D347CE">
        <w:rPr>
          <w:lang w:val="en-GB" w:eastAsia="en-US"/>
        </w:rPr>
        <w:t>1910826, “</w:t>
      </w:r>
      <w:r w:rsidR="00D347CE" w:rsidRPr="00D347CE">
        <w:rPr>
          <w:lang w:val="en-GB" w:eastAsia="en-US"/>
        </w:rPr>
        <w:t>Discussion on feasibility of NR HST with DPS transmission</w:t>
      </w:r>
      <w:r w:rsidR="00D347CE">
        <w:rPr>
          <w:lang w:val="en-GB" w:eastAsia="en-US"/>
        </w:rPr>
        <w:t>”, MediaTek inc.</w:t>
      </w:r>
    </w:p>
    <w:sectPr w:rsidR="005C78A5" w:rsidRPr="00D636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5D4F8" w14:textId="77777777" w:rsidR="000E56E5" w:rsidRDefault="000E56E5">
      <w:r>
        <w:separator/>
      </w:r>
    </w:p>
  </w:endnote>
  <w:endnote w:type="continuationSeparator" w:id="0">
    <w:p w14:paraId="0AE09C6E" w14:textId="77777777" w:rsidR="000E56E5" w:rsidRDefault="000E5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512A8" w14:textId="77777777" w:rsidR="000E56E5" w:rsidRDefault="000E56E5">
      <w:r>
        <w:separator/>
      </w:r>
    </w:p>
  </w:footnote>
  <w:footnote w:type="continuationSeparator" w:id="0">
    <w:p w14:paraId="1B85AFFA" w14:textId="77777777" w:rsidR="000E56E5" w:rsidRDefault="000E56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45273A17"/>
    <w:multiLevelType w:val="hybridMultilevel"/>
    <w:tmpl w:val="A2F8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E770A9"/>
    <w:multiLevelType w:val="hybridMultilevel"/>
    <w:tmpl w:val="C944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FDF"/>
    <w:rsid w:val="0000708A"/>
    <w:rsid w:val="0000719E"/>
    <w:rsid w:val="000074B7"/>
    <w:rsid w:val="000074C4"/>
    <w:rsid w:val="00010086"/>
    <w:rsid w:val="0001082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3C2"/>
    <w:rsid w:val="00022BC4"/>
    <w:rsid w:val="0002305A"/>
    <w:rsid w:val="00023439"/>
    <w:rsid w:val="000236A3"/>
    <w:rsid w:val="00023EDD"/>
    <w:rsid w:val="000242E1"/>
    <w:rsid w:val="00024686"/>
    <w:rsid w:val="00024868"/>
    <w:rsid w:val="000248D1"/>
    <w:rsid w:val="00024B9C"/>
    <w:rsid w:val="00024D42"/>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6AE"/>
    <w:rsid w:val="000339EA"/>
    <w:rsid w:val="00033A47"/>
    <w:rsid w:val="000345EB"/>
    <w:rsid w:val="000347B1"/>
    <w:rsid w:val="00034AD2"/>
    <w:rsid w:val="00034FF2"/>
    <w:rsid w:val="00035AC1"/>
    <w:rsid w:val="0003672F"/>
    <w:rsid w:val="0003683B"/>
    <w:rsid w:val="00037056"/>
    <w:rsid w:val="000373B5"/>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581"/>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2D5C"/>
    <w:rsid w:val="0009343C"/>
    <w:rsid w:val="000934B5"/>
    <w:rsid w:val="00093B47"/>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6BA"/>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CE3"/>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1A7F"/>
    <w:rsid w:val="000C22E1"/>
    <w:rsid w:val="000C28E3"/>
    <w:rsid w:val="000C2D07"/>
    <w:rsid w:val="000C2D18"/>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8C0"/>
    <w:rsid w:val="000D3912"/>
    <w:rsid w:val="000D4B1B"/>
    <w:rsid w:val="000D4F32"/>
    <w:rsid w:val="000D56E8"/>
    <w:rsid w:val="000D59AC"/>
    <w:rsid w:val="000D5A2D"/>
    <w:rsid w:val="000D6323"/>
    <w:rsid w:val="000D6626"/>
    <w:rsid w:val="000D6D54"/>
    <w:rsid w:val="000D6FFB"/>
    <w:rsid w:val="000D7412"/>
    <w:rsid w:val="000D7D65"/>
    <w:rsid w:val="000E02E1"/>
    <w:rsid w:val="000E0C7D"/>
    <w:rsid w:val="000E14B3"/>
    <w:rsid w:val="000E166B"/>
    <w:rsid w:val="000E1BB5"/>
    <w:rsid w:val="000E27CF"/>
    <w:rsid w:val="000E2FAF"/>
    <w:rsid w:val="000E3216"/>
    <w:rsid w:val="000E3D57"/>
    <w:rsid w:val="000E448C"/>
    <w:rsid w:val="000E4D00"/>
    <w:rsid w:val="000E548D"/>
    <w:rsid w:val="000E56E5"/>
    <w:rsid w:val="000E5BD3"/>
    <w:rsid w:val="000E6E5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642"/>
    <w:rsid w:val="00100AAE"/>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4E47"/>
    <w:rsid w:val="0010520E"/>
    <w:rsid w:val="00105358"/>
    <w:rsid w:val="00105D0A"/>
    <w:rsid w:val="00105D4D"/>
    <w:rsid w:val="00105FE2"/>
    <w:rsid w:val="0010602F"/>
    <w:rsid w:val="0010616E"/>
    <w:rsid w:val="0010668E"/>
    <w:rsid w:val="00106AF9"/>
    <w:rsid w:val="00107376"/>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394"/>
    <w:rsid w:val="0011780E"/>
    <w:rsid w:val="00117DA7"/>
    <w:rsid w:val="00120801"/>
    <w:rsid w:val="00120888"/>
    <w:rsid w:val="00120A1A"/>
    <w:rsid w:val="00120A81"/>
    <w:rsid w:val="00120E91"/>
    <w:rsid w:val="001216D3"/>
    <w:rsid w:val="00121BA2"/>
    <w:rsid w:val="00121E5E"/>
    <w:rsid w:val="0012222B"/>
    <w:rsid w:val="001224A0"/>
    <w:rsid w:val="001228AF"/>
    <w:rsid w:val="00123511"/>
    <w:rsid w:val="00123768"/>
    <w:rsid w:val="00123E28"/>
    <w:rsid w:val="001246B3"/>
    <w:rsid w:val="00124C9E"/>
    <w:rsid w:val="00125226"/>
    <w:rsid w:val="001252C5"/>
    <w:rsid w:val="00125E2D"/>
    <w:rsid w:val="001260AD"/>
    <w:rsid w:val="001263EF"/>
    <w:rsid w:val="0012659B"/>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13B"/>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ED5"/>
    <w:rsid w:val="00173F96"/>
    <w:rsid w:val="00174A1D"/>
    <w:rsid w:val="00174EC2"/>
    <w:rsid w:val="0017551C"/>
    <w:rsid w:val="001756C2"/>
    <w:rsid w:val="00175715"/>
    <w:rsid w:val="00175CD8"/>
    <w:rsid w:val="00175DE8"/>
    <w:rsid w:val="00176645"/>
    <w:rsid w:val="00176ED6"/>
    <w:rsid w:val="00177943"/>
    <w:rsid w:val="00180811"/>
    <w:rsid w:val="0018082A"/>
    <w:rsid w:val="00180C85"/>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44F"/>
    <w:rsid w:val="0019461B"/>
    <w:rsid w:val="00194B45"/>
    <w:rsid w:val="0019597A"/>
    <w:rsid w:val="00195BE2"/>
    <w:rsid w:val="001964F8"/>
    <w:rsid w:val="00196643"/>
    <w:rsid w:val="001967D5"/>
    <w:rsid w:val="001978E1"/>
    <w:rsid w:val="00197B67"/>
    <w:rsid w:val="001A0201"/>
    <w:rsid w:val="001A0969"/>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63E"/>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625"/>
    <w:rsid w:val="001D4863"/>
    <w:rsid w:val="001D48F6"/>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CF2"/>
    <w:rsid w:val="001E24A5"/>
    <w:rsid w:val="001E26AE"/>
    <w:rsid w:val="001E2B47"/>
    <w:rsid w:val="001E2BD4"/>
    <w:rsid w:val="001E2C4C"/>
    <w:rsid w:val="001E48F4"/>
    <w:rsid w:val="001E5143"/>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670"/>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A5"/>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5E3"/>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58"/>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0E93"/>
    <w:rsid w:val="00281542"/>
    <w:rsid w:val="002818D5"/>
    <w:rsid w:val="00281C59"/>
    <w:rsid w:val="00282ACE"/>
    <w:rsid w:val="00282B68"/>
    <w:rsid w:val="00282EB8"/>
    <w:rsid w:val="00283083"/>
    <w:rsid w:val="00283311"/>
    <w:rsid w:val="00283877"/>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70E"/>
    <w:rsid w:val="00291EC7"/>
    <w:rsid w:val="002927DE"/>
    <w:rsid w:val="00292908"/>
    <w:rsid w:val="00292B5F"/>
    <w:rsid w:val="002933F2"/>
    <w:rsid w:val="00293688"/>
    <w:rsid w:val="00294B67"/>
    <w:rsid w:val="00294E8F"/>
    <w:rsid w:val="00296DC9"/>
    <w:rsid w:val="00297370"/>
    <w:rsid w:val="00297912"/>
    <w:rsid w:val="00297BFB"/>
    <w:rsid w:val="00297CDF"/>
    <w:rsid w:val="002A00D4"/>
    <w:rsid w:val="002A00DD"/>
    <w:rsid w:val="002A0393"/>
    <w:rsid w:val="002A0A2F"/>
    <w:rsid w:val="002A14C6"/>
    <w:rsid w:val="002A1A31"/>
    <w:rsid w:val="002A1D45"/>
    <w:rsid w:val="002A1F6A"/>
    <w:rsid w:val="002A23D9"/>
    <w:rsid w:val="002A244F"/>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816"/>
    <w:rsid w:val="002C3C8A"/>
    <w:rsid w:val="002C5A0A"/>
    <w:rsid w:val="002C5CC9"/>
    <w:rsid w:val="002C61AC"/>
    <w:rsid w:val="002C61F4"/>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3A10"/>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B43"/>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319"/>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4DC"/>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B7F77"/>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28E"/>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40E"/>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3F7C17"/>
    <w:rsid w:val="0040020B"/>
    <w:rsid w:val="0040074F"/>
    <w:rsid w:val="0040078C"/>
    <w:rsid w:val="00400845"/>
    <w:rsid w:val="00400AE2"/>
    <w:rsid w:val="00400C30"/>
    <w:rsid w:val="004013FF"/>
    <w:rsid w:val="00401FB3"/>
    <w:rsid w:val="00402C3B"/>
    <w:rsid w:val="004033E0"/>
    <w:rsid w:val="004034B1"/>
    <w:rsid w:val="00403BE3"/>
    <w:rsid w:val="00403C73"/>
    <w:rsid w:val="00403D9F"/>
    <w:rsid w:val="00404104"/>
    <w:rsid w:val="00404532"/>
    <w:rsid w:val="004046A7"/>
    <w:rsid w:val="0040471B"/>
    <w:rsid w:val="00404A78"/>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3E5B"/>
    <w:rsid w:val="00434AD0"/>
    <w:rsid w:val="00434B64"/>
    <w:rsid w:val="00435596"/>
    <w:rsid w:val="004355DA"/>
    <w:rsid w:val="00435663"/>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0087"/>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649"/>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A2B"/>
    <w:rsid w:val="00472DBC"/>
    <w:rsid w:val="00473924"/>
    <w:rsid w:val="00474107"/>
    <w:rsid w:val="00474255"/>
    <w:rsid w:val="004742DF"/>
    <w:rsid w:val="00474A34"/>
    <w:rsid w:val="00474D53"/>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47"/>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DDC"/>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4D0"/>
    <w:rsid w:val="004D05A7"/>
    <w:rsid w:val="004D0607"/>
    <w:rsid w:val="004D0BA3"/>
    <w:rsid w:val="004D0D2E"/>
    <w:rsid w:val="004D15B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8AC"/>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E775A"/>
    <w:rsid w:val="004F00EC"/>
    <w:rsid w:val="004F02D8"/>
    <w:rsid w:val="004F0D2A"/>
    <w:rsid w:val="004F0DB4"/>
    <w:rsid w:val="004F1097"/>
    <w:rsid w:val="004F1321"/>
    <w:rsid w:val="004F1A95"/>
    <w:rsid w:val="004F2ADF"/>
    <w:rsid w:val="004F3489"/>
    <w:rsid w:val="004F3B3E"/>
    <w:rsid w:val="004F4ED7"/>
    <w:rsid w:val="004F5025"/>
    <w:rsid w:val="004F53B8"/>
    <w:rsid w:val="004F5835"/>
    <w:rsid w:val="004F5A41"/>
    <w:rsid w:val="004F5B88"/>
    <w:rsid w:val="004F5C7E"/>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7B4"/>
    <w:rsid w:val="00520899"/>
    <w:rsid w:val="00521084"/>
    <w:rsid w:val="00521BFC"/>
    <w:rsid w:val="00522281"/>
    <w:rsid w:val="00522391"/>
    <w:rsid w:val="005237A4"/>
    <w:rsid w:val="00523F0C"/>
    <w:rsid w:val="00524AC6"/>
    <w:rsid w:val="00524D70"/>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1DCE"/>
    <w:rsid w:val="0054246B"/>
    <w:rsid w:val="005424D2"/>
    <w:rsid w:val="005442D9"/>
    <w:rsid w:val="00544566"/>
    <w:rsid w:val="00544E9B"/>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2D"/>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431"/>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5B1"/>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4D"/>
    <w:rsid w:val="005C3969"/>
    <w:rsid w:val="005C4281"/>
    <w:rsid w:val="005C4450"/>
    <w:rsid w:val="005C502F"/>
    <w:rsid w:val="005C5A64"/>
    <w:rsid w:val="005C5ED7"/>
    <w:rsid w:val="005C5F96"/>
    <w:rsid w:val="005C61A7"/>
    <w:rsid w:val="005C6A95"/>
    <w:rsid w:val="005C6E40"/>
    <w:rsid w:val="005C748C"/>
    <w:rsid w:val="005C78A5"/>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9C8"/>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6B1"/>
    <w:rsid w:val="00600723"/>
    <w:rsid w:val="00600D82"/>
    <w:rsid w:val="006017E3"/>
    <w:rsid w:val="00601914"/>
    <w:rsid w:val="00601AA7"/>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0E7D"/>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B68"/>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01"/>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75E"/>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310"/>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EA5"/>
    <w:rsid w:val="00695DD6"/>
    <w:rsid w:val="00696363"/>
    <w:rsid w:val="006965BF"/>
    <w:rsid w:val="00696A90"/>
    <w:rsid w:val="00697717"/>
    <w:rsid w:val="00697E11"/>
    <w:rsid w:val="006A0044"/>
    <w:rsid w:val="006A054A"/>
    <w:rsid w:val="006A0665"/>
    <w:rsid w:val="006A0801"/>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D92"/>
    <w:rsid w:val="006B23E0"/>
    <w:rsid w:val="006B2A65"/>
    <w:rsid w:val="006B2BEE"/>
    <w:rsid w:val="006B2EDC"/>
    <w:rsid w:val="006B3106"/>
    <w:rsid w:val="006B3406"/>
    <w:rsid w:val="006B3812"/>
    <w:rsid w:val="006B3ED4"/>
    <w:rsid w:val="006B4156"/>
    <w:rsid w:val="006B4277"/>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178E"/>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01C"/>
    <w:rsid w:val="006C785E"/>
    <w:rsid w:val="006C7A07"/>
    <w:rsid w:val="006D004E"/>
    <w:rsid w:val="006D0065"/>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C1C"/>
    <w:rsid w:val="006E2DB5"/>
    <w:rsid w:val="006E3812"/>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A2B"/>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2F88"/>
    <w:rsid w:val="00723585"/>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40AC"/>
    <w:rsid w:val="0073413F"/>
    <w:rsid w:val="00735A2C"/>
    <w:rsid w:val="007363C3"/>
    <w:rsid w:val="007365E3"/>
    <w:rsid w:val="00737667"/>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2A05"/>
    <w:rsid w:val="00743083"/>
    <w:rsid w:val="0074311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0676"/>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E62"/>
    <w:rsid w:val="007600E5"/>
    <w:rsid w:val="007605C4"/>
    <w:rsid w:val="0076110B"/>
    <w:rsid w:val="00761C49"/>
    <w:rsid w:val="007623B3"/>
    <w:rsid w:val="007629FC"/>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5BA"/>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42A"/>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179"/>
    <w:rsid w:val="00794895"/>
    <w:rsid w:val="00795BA6"/>
    <w:rsid w:val="00795F06"/>
    <w:rsid w:val="00796FB4"/>
    <w:rsid w:val="00797471"/>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56D"/>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43D4"/>
    <w:rsid w:val="007D4A01"/>
    <w:rsid w:val="007D4F35"/>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B9B"/>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EC1"/>
    <w:rsid w:val="00847204"/>
    <w:rsid w:val="00847A18"/>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5D7"/>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271"/>
    <w:rsid w:val="00875410"/>
    <w:rsid w:val="00875CEF"/>
    <w:rsid w:val="008767A3"/>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7BA"/>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9C1"/>
    <w:rsid w:val="008A4A39"/>
    <w:rsid w:val="008A4BE7"/>
    <w:rsid w:val="008A4C23"/>
    <w:rsid w:val="008A4C2D"/>
    <w:rsid w:val="008A6920"/>
    <w:rsid w:val="008B042F"/>
    <w:rsid w:val="008B06B4"/>
    <w:rsid w:val="008B0A66"/>
    <w:rsid w:val="008B0F94"/>
    <w:rsid w:val="008B1B15"/>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2C"/>
    <w:rsid w:val="008D1CB3"/>
    <w:rsid w:val="008D267A"/>
    <w:rsid w:val="008D2BEA"/>
    <w:rsid w:val="008D316D"/>
    <w:rsid w:val="008D33D5"/>
    <w:rsid w:val="008D39F4"/>
    <w:rsid w:val="008D3B29"/>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C9"/>
    <w:rsid w:val="009808EF"/>
    <w:rsid w:val="0098096E"/>
    <w:rsid w:val="00980FF5"/>
    <w:rsid w:val="009810E6"/>
    <w:rsid w:val="00981F78"/>
    <w:rsid w:val="00982761"/>
    <w:rsid w:val="00982C10"/>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C7BCF"/>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0EDD"/>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984"/>
    <w:rsid w:val="009E5AF5"/>
    <w:rsid w:val="009E5CBA"/>
    <w:rsid w:val="009E627D"/>
    <w:rsid w:val="009E6EEE"/>
    <w:rsid w:val="009E7285"/>
    <w:rsid w:val="009E74F5"/>
    <w:rsid w:val="009E7611"/>
    <w:rsid w:val="009E7A21"/>
    <w:rsid w:val="009F00EF"/>
    <w:rsid w:val="009F0126"/>
    <w:rsid w:val="009F02B1"/>
    <w:rsid w:val="009F050F"/>
    <w:rsid w:val="009F09C1"/>
    <w:rsid w:val="009F0AFD"/>
    <w:rsid w:val="009F0F46"/>
    <w:rsid w:val="009F1785"/>
    <w:rsid w:val="009F193B"/>
    <w:rsid w:val="009F2B6A"/>
    <w:rsid w:val="009F2FCE"/>
    <w:rsid w:val="009F3D87"/>
    <w:rsid w:val="009F4CFF"/>
    <w:rsid w:val="009F5A15"/>
    <w:rsid w:val="009F6437"/>
    <w:rsid w:val="009F7693"/>
    <w:rsid w:val="009F7762"/>
    <w:rsid w:val="009F77D3"/>
    <w:rsid w:val="009F78C2"/>
    <w:rsid w:val="009F7D66"/>
    <w:rsid w:val="00A00F75"/>
    <w:rsid w:val="00A015A8"/>
    <w:rsid w:val="00A016DA"/>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C05"/>
    <w:rsid w:val="00A13DCB"/>
    <w:rsid w:val="00A13EC0"/>
    <w:rsid w:val="00A14D4C"/>
    <w:rsid w:val="00A15067"/>
    <w:rsid w:val="00A155CB"/>
    <w:rsid w:val="00A15E54"/>
    <w:rsid w:val="00A16419"/>
    <w:rsid w:val="00A17119"/>
    <w:rsid w:val="00A1729F"/>
    <w:rsid w:val="00A17410"/>
    <w:rsid w:val="00A2024B"/>
    <w:rsid w:val="00A20D44"/>
    <w:rsid w:val="00A2186C"/>
    <w:rsid w:val="00A21C59"/>
    <w:rsid w:val="00A22CD3"/>
    <w:rsid w:val="00A22DFE"/>
    <w:rsid w:val="00A23174"/>
    <w:rsid w:val="00A23A7D"/>
    <w:rsid w:val="00A243D4"/>
    <w:rsid w:val="00A2457F"/>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8E"/>
    <w:rsid w:val="00A2793E"/>
    <w:rsid w:val="00A27B25"/>
    <w:rsid w:val="00A27EBA"/>
    <w:rsid w:val="00A305EE"/>
    <w:rsid w:val="00A30AD2"/>
    <w:rsid w:val="00A3113B"/>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1F"/>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4F"/>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4CD"/>
    <w:rsid w:val="00A81AD8"/>
    <w:rsid w:val="00A82317"/>
    <w:rsid w:val="00A8293D"/>
    <w:rsid w:val="00A83337"/>
    <w:rsid w:val="00A83BE5"/>
    <w:rsid w:val="00A83EDB"/>
    <w:rsid w:val="00A83F92"/>
    <w:rsid w:val="00A842E9"/>
    <w:rsid w:val="00A84B1E"/>
    <w:rsid w:val="00A84B80"/>
    <w:rsid w:val="00A84CAA"/>
    <w:rsid w:val="00A84F70"/>
    <w:rsid w:val="00A85097"/>
    <w:rsid w:val="00A853AE"/>
    <w:rsid w:val="00A85568"/>
    <w:rsid w:val="00A856CA"/>
    <w:rsid w:val="00A85DD1"/>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6FC7"/>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9AE"/>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0A46"/>
    <w:rsid w:val="00AE1996"/>
    <w:rsid w:val="00AE1B78"/>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5FE8"/>
    <w:rsid w:val="00B3604D"/>
    <w:rsid w:val="00B3670A"/>
    <w:rsid w:val="00B368DB"/>
    <w:rsid w:val="00B3799F"/>
    <w:rsid w:val="00B37F49"/>
    <w:rsid w:val="00B37F5A"/>
    <w:rsid w:val="00B40186"/>
    <w:rsid w:val="00B40B6C"/>
    <w:rsid w:val="00B4132E"/>
    <w:rsid w:val="00B416AE"/>
    <w:rsid w:val="00B417D0"/>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6D35"/>
    <w:rsid w:val="00B4715C"/>
    <w:rsid w:val="00B47697"/>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B7B"/>
    <w:rsid w:val="00B67F29"/>
    <w:rsid w:val="00B70161"/>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5FAD"/>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0BAB"/>
    <w:rsid w:val="00BD1589"/>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0BE"/>
    <w:rsid w:val="00BE0287"/>
    <w:rsid w:val="00BE02A5"/>
    <w:rsid w:val="00BE02B4"/>
    <w:rsid w:val="00BE062D"/>
    <w:rsid w:val="00BE0A5A"/>
    <w:rsid w:val="00BE1003"/>
    <w:rsid w:val="00BE10C3"/>
    <w:rsid w:val="00BE126C"/>
    <w:rsid w:val="00BE14E1"/>
    <w:rsid w:val="00BE167C"/>
    <w:rsid w:val="00BE1822"/>
    <w:rsid w:val="00BE1946"/>
    <w:rsid w:val="00BE1C28"/>
    <w:rsid w:val="00BE21FC"/>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7F5"/>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52A"/>
    <w:rsid w:val="00C010D2"/>
    <w:rsid w:val="00C015F3"/>
    <w:rsid w:val="00C0165F"/>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AC7"/>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262"/>
    <w:rsid w:val="00C26918"/>
    <w:rsid w:val="00C26B37"/>
    <w:rsid w:val="00C26D4D"/>
    <w:rsid w:val="00C26D51"/>
    <w:rsid w:val="00C26E8C"/>
    <w:rsid w:val="00C27FF2"/>
    <w:rsid w:val="00C306DF"/>
    <w:rsid w:val="00C30B02"/>
    <w:rsid w:val="00C30FC4"/>
    <w:rsid w:val="00C3129C"/>
    <w:rsid w:val="00C31B10"/>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E3A"/>
    <w:rsid w:val="00C43FF0"/>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46"/>
    <w:rsid w:val="00C60FAF"/>
    <w:rsid w:val="00C61486"/>
    <w:rsid w:val="00C6163E"/>
    <w:rsid w:val="00C61E49"/>
    <w:rsid w:val="00C62065"/>
    <w:rsid w:val="00C62965"/>
    <w:rsid w:val="00C62AD9"/>
    <w:rsid w:val="00C6341D"/>
    <w:rsid w:val="00C635B9"/>
    <w:rsid w:val="00C63B3B"/>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CD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044"/>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F4"/>
    <w:rsid w:val="00CC0B75"/>
    <w:rsid w:val="00CC1594"/>
    <w:rsid w:val="00CC19A9"/>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E17"/>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C8A"/>
    <w:rsid w:val="00CF2DBC"/>
    <w:rsid w:val="00CF2F4F"/>
    <w:rsid w:val="00CF31F1"/>
    <w:rsid w:val="00CF3807"/>
    <w:rsid w:val="00CF38DC"/>
    <w:rsid w:val="00CF3A2E"/>
    <w:rsid w:val="00CF3E4F"/>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0FE4"/>
    <w:rsid w:val="00D110AE"/>
    <w:rsid w:val="00D11359"/>
    <w:rsid w:val="00D11641"/>
    <w:rsid w:val="00D11C98"/>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2D2"/>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18E"/>
    <w:rsid w:val="00D347CE"/>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6E43"/>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45"/>
    <w:rsid w:val="00D72741"/>
    <w:rsid w:val="00D7286C"/>
    <w:rsid w:val="00D73080"/>
    <w:rsid w:val="00D735F5"/>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9E2"/>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5D68"/>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202"/>
    <w:rsid w:val="00DB0457"/>
    <w:rsid w:val="00DB045F"/>
    <w:rsid w:val="00DB05E9"/>
    <w:rsid w:val="00DB0615"/>
    <w:rsid w:val="00DB1060"/>
    <w:rsid w:val="00DB1730"/>
    <w:rsid w:val="00DB1CD6"/>
    <w:rsid w:val="00DB2B61"/>
    <w:rsid w:val="00DB2CFE"/>
    <w:rsid w:val="00DB2EFC"/>
    <w:rsid w:val="00DB32E8"/>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3F54"/>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360"/>
    <w:rsid w:val="00DF3DD5"/>
    <w:rsid w:val="00DF42F3"/>
    <w:rsid w:val="00DF574A"/>
    <w:rsid w:val="00DF63EF"/>
    <w:rsid w:val="00DF6962"/>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A72"/>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3D1F"/>
    <w:rsid w:val="00E34810"/>
    <w:rsid w:val="00E34909"/>
    <w:rsid w:val="00E34AE8"/>
    <w:rsid w:val="00E35A29"/>
    <w:rsid w:val="00E3634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26"/>
    <w:rsid w:val="00E56BE0"/>
    <w:rsid w:val="00E56C5E"/>
    <w:rsid w:val="00E56EB7"/>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45B0"/>
    <w:rsid w:val="00E85201"/>
    <w:rsid w:val="00E85307"/>
    <w:rsid w:val="00E85C2C"/>
    <w:rsid w:val="00E85D04"/>
    <w:rsid w:val="00E861C8"/>
    <w:rsid w:val="00E8659C"/>
    <w:rsid w:val="00E87572"/>
    <w:rsid w:val="00E9088E"/>
    <w:rsid w:val="00E9244C"/>
    <w:rsid w:val="00E92758"/>
    <w:rsid w:val="00E928D8"/>
    <w:rsid w:val="00E92E8B"/>
    <w:rsid w:val="00E933B6"/>
    <w:rsid w:val="00E937BC"/>
    <w:rsid w:val="00E93B23"/>
    <w:rsid w:val="00E93CDE"/>
    <w:rsid w:val="00E93D15"/>
    <w:rsid w:val="00E94255"/>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16"/>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325"/>
    <w:rsid w:val="00EB58AE"/>
    <w:rsid w:val="00EB663B"/>
    <w:rsid w:val="00EB6888"/>
    <w:rsid w:val="00EB6F9E"/>
    <w:rsid w:val="00EB79BE"/>
    <w:rsid w:val="00EB7E44"/>
    <w:rsid w:val="00EC0153"/>
    <w:rsid w:val="00EC0496"/>
    <w:rsid w:val="00EC0627"/>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75"/>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2B4"/>
    <w:rsid w:val="00EF47B0"/>
    <w:rsid w:val="00EF47C7"/>
    <w:rsid w:val="00EF4858"/>
    <w:rsid w:val="00EF5A32"/>
    <w:rsid w:val="00EF5B80"/>
    <w:rsid w:val="00EF6954"/>
    <w:rsid w:val="00EF6FE8"/>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035"/>
    <w:rsid w:val="00F1416E"/>
    <w:rsid w:val="00F143D5"/>
    <w:rsid w:val="00F14F43"/>
    <w:rsid w:val="00F15DB4"/>
    <w:rsid w:val="00F15F33"/>
    <w:rsid w:val="00F1672E"/>
    <w:rsid w:val="00F16BAF"/>
    <w:rsid w:val="00F16D27"/>
    <w:rsid w:val="00F16E9B"/>
    <w:rsid w:val="00F17876"/>
    <w:rsid w:val="00F179C6"/>
    <w:rsid w:val="00F179F9"/>
    <w:rsid w:val="00F20542"/>
    <w:rsid w:val="00F205F3"/>
    <w:rsid w:val="00F2061C"/>
    <w:rsid w:val="00F20C59"/>
    <w:rsid w:val="00F20E9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30F"/>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4A09"/>
    <w:rsid w:val="00F3680A"/>
    <w:rsid w:val="00F3697A"/>
    <w:rsid w:val="00F36CD9"/>
    <w:rsid w:val="00F37392"/>
    <w:rsid w:val="00F37B13"/>
    <w:rsid w:val="00F401B1"/>
    <w:rsid w:val="00F40A10"/>
    <w:rsid w:val="00F41F34"/>
    <w:rsid w:val="00F41F96"/>
    <w:rsid w:val="00F42022"/>
    <w:rsid w:val="00F42AEA"/>
    <w:rsid w:val="00F43148"/>
    <w:rsid w:val="00F43451"/>
    <w:rsid w:val="00F43B65"/>
    <w:rsid w:val="00F43F02"/>
    <w:rsid w:val="00F44085"/>
    <w:rsid w:val="00F443DA"/>
    <w:rsid w:val="00F44613"/>
    <w:rsid w:val="00F44E27"/>
    <w:rsid w:val="00F4537E"/>
    <w:rsid w:val="00F45BAC"/>
    <w:rsid w:val="00F466A4"/>
    <w:rsid w:val="00F467DA"/>
    <w:rsid w:val="00F46905"/>
    <w:rsid w:val="00F469A2"/>
    <w:rsid w:val="00F46B2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234"/>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2A0"/>
    <w:rsid w:val="00F7670E"/>
    <w:rsid w:val="00F769A8"/>
    <w:rsid w:val="00F7762C"/>
    <w:rsid w:val="00F776C4"/>
    <w:rsid w:val="00F778D7"/>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5F"/>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3F7E"/>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466"/>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B9A"/>
    <w:rsid w:val="00FD294C"/>
    <w:rsid w:val="00FD2E86"/>
    <w:rsid w:val="00FD385F"/>
    <w:rsid w:val="00FD39C8"/>
    <w:rsid w:val="00FD3D0B"/>
    <w:rsid w:val="00FD3DB9"/>
    <w:rsid w:val="00FD409B"/>
    <w:rsid w:val="00FD4C08"/>
    <w:rsid w:val="00FD504A"/>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2D52"/>
    <w:rsid w:val="00FE2D98"/>
    <w:rsid w:val="00FE30BC"/>
    <w:rsid w:val="00FE380A"/>
    <w:rsid w:val="00FE3CDD"/>
    <w:rsid w:val="00FE4DBB"/>
    <w:rsid w:val="00FE536D"/>
    <w:rsid w:val="00FE5F99"/>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165F"/>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01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165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customStyle="1" w:styleId="CRCoverPageChar">
    <w:name w:val="CR Cover Page Char"/>
    <w:link w:val="CRCoverPage"/>
    <w:rsid w:val="00F20E93"/>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239475">
      <w:bodyDiv w:val="1"/>
      <w:marLeft w:val="0"/>
      <w:marRight w:val="0"/>
      <w:marTop w:val="0"/>
      <w:marBottom w:val="0"/>
      <w:divBdr>
        <w:top w:val="none" w:sz="0" w:space="0" w:color="auto"/>
        <w:left w:val="none" w:sz="0" w:space="0" w:color="auto"/>
        <w:bottom w:val="none" w:sz="0" w:space="0" w:color="auto"/>
        <w:right w:val="none" w:sz="0" w:space="0" w:color="auto"/>
      </w:divBdr>
    </w:div>
    <w:div w:id="13287305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683994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3990910">
      <w:bodyDiv w:val="1"/>
      <w:marLeft w:val="0"/>
      <w:marRight w:val="0"/>
      <w:marTop w:val="0"/>
      <w:marBottom w:val="0"/>
      <w:divBdr>
        <w:top w:val="none" w:sz="0" w:space="0" w:color="auto"/>
        <w:left w:val="none" w:sz="0" w:space="0" w:color="auto"/>
        <w:bottom w:val="none" w:sz="0" w:space="0" w:color="auto"/>
        <w:right w:val="none" w:sz="0" w:space="0" w:color="auto"/>
      </w:divBdr>
      <w:divsChild>
        <w:div w:id="69230961">
          <w:marLeft w:val="1166"/>
          <w:marRight w:val="0"/>
          <w:marTop w:val="96"/>
          <w:marBottom w:val="0"/>
          <w:divBdr>
            <w:top w:val="none" w:sz="0" w:space="0" w:color="auto"/>
            <w:left w:val="none" w:sz="0" w:space="0" w:color="auto"/>
            <w:bottom w:val="none" w:sz="0" w:space="0" w:color="auto"/>
            <w:right w:val="none" w:sz="0" w:space="0" w:color="auto"/>
          </w:divBdr>
        </w:div>
        <w:div w:id="1067067226">
          <w:marLeft w:val="1800"/>
          <w:marRight w:val="0"/>
          <w:marTop w:val="77"/>
          <w:marBottom w:val="0"/>
          <w:divBdr>
            <w:top w:val="none" w:sz="0" w:space="0" w:color="auto"/>
            <w:left w:val="none" w:sz="0" w:space="0" w:color="auto"/>
            <w:bottom w:val="none" w:sz="0" w:space="0" w:color="auto"/>
            <w:right w:val="none" w:sz="0" w:space="0" w:color="auto"/>
          </w:divBdr>
        </w:div>
        <w:div w:id="1596402621">
          <w:marLeft w:val="1800"/>
          <w:marRight w:val="0"/>
          <w:marTop w:val="77"/>
          <w:marBottom w:val="0"/>
          <w:divBdr>
            <w:top w:val="none" w:sz="0" w:space="0" w:color="auto"/>
            <w:left w:val="none" w:sz="0" w:space="0" w:color="auto"/>
            <w:bottom w:val="none" w:sz="0" w:space="0" w:color="auto"/>
            <w:right w:val="none" w:sz="0" w:space="0" w:color="auto"/>
          </w:divBdr>
        </w:div>
        <w:div w:id="1895043770">
          <w:marLeft w:val="1800"/>
          <w:marRight w:val="0"/>
          <w:marTop w:val="77"/>
          <w:marBottom w:val="0"/>
          <w:divBdr>
            <w:top w:val="none" w:sz="0" w:space="0" w:color="auto"/>
            <w:left w:val="none" w:sz="0" w:space="0" w:color="auto"/>
            <w:bottom w:val="none" w:sz="0" w:space="0" w:color="auto"/>
            <w:right w:val="none" w:sz="0" w:space="0" w:color="auto"/>
          </w:divBdr>
        </w:div>
        <w:div w:id="77214248">
          <w:marLeft w:val="1800"/>
          <w:marRight w:val="0"/>
          <w:marTop w:val="77"/>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26450">
      <w:bodyDiv w:val="1"/>
      <w:marLeft w:val="0"/>
      <w:marRight w:val="0"/>
      <w:marTop w:val="0"/>
      <w:marBottom w:val="0"/>
      <w:divBdr>
        <w:top w:val="none" w:sz="0" w:space="0" w:color="auto"/>
        <w:left w:val="none" w:sz="0" w:space="0" w:color="auto"/>
        <w:bottom w:val="none" w:sz="0" w:space="0" w:color="auto"/>
        <w:right w:val="none" w:sz="0" w:space="0" w:color="auto"/>
      </w:divBdr>
      <w:divsChild>
        <w:div w:id="629168166">
          <w:marLeft w:val="1166"/>
          <w:marRight w:val="0"/>
          <w:marTop w:val="96"/>
          <w:marBottom w:val="0"/>
          <w:divBdr>
            <w:top w:val="none" w:sz="0" w:space="0" w:color="auto"/>
            <w:left w:val="none" w:sz="0" w:space="0" w:color="auto"/>
            <w:bottom w:val="none" w:sz="0" w:space="0" w:color="auto"/>
            <w:right w:val="none" w:sz="0" w:space="0" w:color="auto"/>
          </w:divBdr>
        </w:div>
        <w:div w:id="1317104734">
          <w:marLeft w:val="1800"/>
          <w:marRight w:val="0"/>
          <w:marTop w:val="77"/>
          <w:marBottom w:val="0"/>
          <w:divBdr>
            <w:top w:val="none" w:sz="0" w:space="0" w:color="auto"/>
            <w:left w:val="none" w:sz="0" w:space="0" w:color="auto"/>
            <w:bottom w:val="none" w:sz="0" w:space="0" w:color="auto"/>
            <w:right w:val="none" w:sz="0" w:space="0" w:color="auto"/>
          </w:divBdr>
        </w:div>
        <w:div w:id="1680349149">
          <w:marLeft w:val="1800"/>
          <w:marRight w:val="0"/>
          <w:marTop w:val="77"/>
          <w:marBottom w:val="0"/>
          <w:divBdr>
            <w:top w:val="none" w:sz="0" w:space="0" w:color="auto"/>
            <w:left w:val="none" w:sz="0" w:space="0" w:color="auto"/>
            <w:bottom w:val="none" w:sz="0" w:space="0" w:color="auto"/>
            <w:right w:val="none" w:sz="0" w:space="0" w:color="auto"/>
          </w:divBdr>
        </w:div>
        <w:div w:id="1572545171">
          <w:marLeft w:val="1800"/>
          <w:marRight w:val="0"/>
          <w:marTop w:val="77"/>
          <w:marBottom w:val="0"/>
          <w:divBdr>
            <w:top w:val="none" w:sz="0" w:space="0" w:color="auto"/>
            <w:left w:val="none" w:sz="0" w:space="0" w:color="auto"/>
            <w:bottom w:val="none" w:sz="0" w:space="0" w:color="auto"/>
            <w:right w:val="none" w:sz="0" w:space="0" w:color="auto"/>
          </w:divBdr>
        </w:div>
      </w:divsChild>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990444">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1837555">
      <w:bodyDiv w:val="1"/>
      <w:marLeft w:val="0"/>
      <w:marRight w:val="0"/>
      <w:marTop w:val="0"/>
      <w:marBottom w:val="0"/>
      <w:divBdr>
        <w:top w:val="none" w:sz="0" w:space="0" w:color="auto"/>
        <w:left w:val="none" w:sz="0" w:space="0" w:color="auto"/>
        <w:bottom w:val="none" w:sz="0" w:space="0" w:color="auto"/>
        <w:right w:val="none" w:sz="0" w:space="0" w:color="auto"/>
      </w:divBdr>
      <w:divsChild>
        <w:div w:id="1113480996">
          <w:marLeft w:val="1166"/>
          <w:marRight w:val="0"/>
          <w:marTop w:val="96"/>
          <w:marBottom w:val="0"/>
          <w:divBdr>
            <w:top w:val="none" w:sz="0" w:space="0" w:color="auto"/>
            <w:left w:val="none" w:sz="0" w:space="0" w:color="auto"/>
            <w:bottom w:val="none" w:sz="0" w:space="0" w:color="auto"/>
            <w:right w:val="none" w:sz="0" w:space="0" w:color="auto"/>
          </w:divBdr>
        </w:div>
        <w:div w:id="1422065692">
          <w:marLeft w:val="1800"/>
          <w:marRight w:val="0"/>
          <w:marTop w:val="77"/>
          <w:marBottom w:val="0"/>
          <w:divBdr>
            <w:top w:val="none" w:sz="0" w:space="0" w:color="auto"/>
            <w:left w:val="none" w:sz="0" w:space="0" w:color="auto"/>
            <w:bottom w:val="none" w:sz="0" w:space="0" w:color="auto"/>
            <w:right w:val="none" w:sz="0" w:space="0" w:color="auto"/>
          </w:divBdr>
        </w:div>
        <w:div w:id="1975988520">
          <w:marLeft w:val="1800"/>
          <w:marRight w:val="0"/>
          <w:marTop w:val="77"/>
          <w:marBottom w:val="0"/>
          <w:divBdr>
            <w:top w:val="none" w:sz="0" w:space="0" w:color="auto"/>
            <w:left w:val="none" w:sz="0" w:space="0" w:color="auto"/>
            <w:bottom w:val="none" w:sz="0" w:space="0" w:color="auto"/>
            <w:right w:val="none" w:sz="0" w:space="0" w:color="auto"/>
          </w:divBdr>
        </w:div>
        <w:div w:id="1283339791">
          <w:marLeft w:val="1800"/>
          <w:marRight w:val="0"/>
          <w:marTop w:val="77"/>
          <w:marBottom w:val="0"/>
          <w:divBdr>
            <w:top w:val="none" w:sz="0" w:space="0" w:color="auto"/>
            <w:left w:val="none" w:sz="0" w:space="0" w:color="auto"/>
            <w:bottom w:val="none" w:sz="0" w:space="0" w:color="auto"/>
            <w:right w:val="none" w:sz="0" w:space="0" w:color="auto"/>
          </w:divBdr>
        </w:div>
        <w:div w:id="691686325">
          <w:marLeft w:val="1800"/>
          <w:marRight w:val="0"/>
          <w:marTop w:val="77"/>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65F85-570D-40E2-86E9-46D3A7BD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2019-08-14T11:31:00Z</dcterms:created>
  <dcterms:modified xsi:type="dcterms:W3CDTF">2019-11-08T08:46:00Z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